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B7" w:rsidRDefault="009D1A61">
      <w:pPr>
        <w:pStyle w:val="Kop1"/>
      </w:pPr>
      <w:r>
        <w:t>Flyer: Erkende maatregelen energiebesparing</w:t>
      </w:r>
    </w:p>
    <w:p w:rsidR="00E421B7" w:rsidRDefault="009D1A61" w:rsidP="009D1A61">
      <w:pPr>
        <w:spacing w:after="0" w:line="240" w:lineRule="auto"/>
        <w:jc w:val="both"/>
      </w:pPr>
      <w:r>
        <w:t>Erkende maatregelen zijn energiebesparende investeringen waarmee bedrijven op eenvoudige wijze kunnen voldoen aan de wettelijke energiebesparingsverplichting. Omdat de investeringen tot flinke besparingen leiden, kunnen deze binnen vijf jaar worden terugverdiend.</w:t>
      </w:r>
    </w:p>
    <w:p w:rsidR="00E421B7" w:rsidRDefault="009D1A61" w:rsidP="009D1A61">
      <w:pPr>
        <w:spacing w:after="0" w:line="240" w:lineRule="auto"/>
        <w:jc w:val="both"/>
        <w:rPr>
          <w:rFonts w:eastAsia="Times New Roman" w:cs="Times New Roman"/>
          <w:lang w:eastAsia="nl-NL"/>
        </w:rPr>
      </w:pPr>
      <w:r>
        <w:rPr>
          <w:rFonts w:eastAsia="Times New Roman" w:cs="Times New Roman"/>
          <w:lang w:eastAsia="nl-NL"/>
        </w:rPr>
        <w:br/>
        <w:t>Ondernemers die vallen onder artikel 2.15 van het Activiteitenbesluit, moeten alle maatregelen treffen die zich binnen vijf jaar terugverdienen. Om de uitvoering van deze verplichting te vereenvoudigen heeft LTO met het Ministerie van I en M erkende maatregelenlijsten ontwikkeld. Deze maatregelen besparen energie en zijn goed voor de portemonnee</w:t>
      </w:r>
    </w:p>
    <w:p w:rsidR="00E421B7" w:rsidRDefault="009D1A61" w:rsidP="009D1A61">
      <w:pPr>
        <w:jc w:val="both"/>
        <w:rPr>
          <w:lang w:eastAsia="nl-NL"/>
        </w:rPr>
      </w:pPr>
      <w:r>
        <w:rPr>
          <w:lang w:eastAsia="nl-NL"/>
        </w:rPr>
        <w:br/>
        <w:t>Het gebruik van de erkende maatregelenlijst  is vrijwillig, het is een hulpmiddel om te kunnen voldoen aan de verplichting genoemd in artikel 2.15. LTO heeft aangedrongen op deze verduidelijking en vastgelegd in het Energieakkoord.</w:t>
      </w:r>
    </w:p>
    <w:p w:rsidR="00E421B7" w:rsidRDefault="009D1A61">
      <w:pPr>
        <w:pStyle w:val="Kop2"/>
        <w:rPr>
          <w:rFonts w:eastAsia="Times New Roman"/>
          <w:lang w:eastAsia="nl-NL"/>
        </w:rPr>
      </w:pPr>
      <w:r>
        <w:rPr>
          <w:rFonts w:eastAsia="Times New Roman"/>
          <w:lang w:eastAsia="nl-NL"/>
        </w:rPr>
        <w:t>Voor wie zijn erkende maatregelen bedoeld?</w:t>
      </w:r>
    </w:p>
    <w:p w:rsidR="00E421B7" w:rsidRDefault="00E421B7">
      <w:pPr>
        <w:spacing w:after="0" w:line="240" w:lineRule="auto"/>
        <w:rPr>
          <w:rFonts w:ascii="Times New Roman" w:eastAsia="Times New Roman" w:hAnsi="Symbol" w:cs="Times New Roman"/>
          <w:sz w:val="24"/>
          <w:szCs w:val="24"/>
          <w:lang w:eastAsia="nl-NL"/>
        </w:rPr>
      </w:pPr>
    </w:p>
    <w:p w:rsidR="00E421B7" w:rsidRDefault="009D1A61" w:rsidP="009D1A61">
      <w:pPr>
        <w:spacing w:after="0" w:line="240" w:lineRule="auto"/>
        <w:jc w:val="both"/>
        <w:rPr>
          <w:rFonts w:eastAsia="Times New Roman" w:cs="Times New Roman"/>
          <w:lang w:eastAsia="nl-NL"/>
        </w:rPr>
      </w:pPr>
      <w:r>
        <w:rPr>
          <w:rFonts w:eastAsia="Times New Roman" w:cs="Times New Roman"/>
          <w:lang w:eastAsia="nl-NL"/>
        </w:rPr>
        <w:t xml:space="preserve">De besparingsverplichting geldt voor ondernemers die een bedrijfsmatige activiteit uitoefenen die </w:t>
      </w:r>
      <w:r>
        <w:rPr>
          <w:rFonts w:eastAsia="Times New Roman" w:cs="Times New Roman"/>
          <w:b/>
          <w:lang w:eastAsia="nl-NL"/>
        </w:rPr>
        <w:t>meer dan 50.000 kWh elektriciteit en of meer dan 25.000 m³ aardgas</w:t>
      </w:r>
      <w:r>
        <w:rPr>
          <w:rFonts w:eastAsia="Times New Roman" w:cs="Times New Roman"/>
          <w:lang w:eastAsia="nl-NL"/>
        </w:rPr>
        <w:t xml:space="preserve"> verbruikt. In deze samenvatting spreekt verder van bedrijven en ondernemers, maar hetzelfde geldt bijvoorbeeld ook voor scholen en ziekenhuizen. </w:t>
      </w:r>
    </w:p>
    <w:p w:rsidR="00E421B7" w:rsidRDefault="00E421B7" w:rsidP="009D1A61">
      <w:pPr>
        <w:spacing w:after="0" w:line="240" w:lineRule="auto"/>
        <w:jc w:val="both"/>
        <w:rPr>
          <w:rFonts w:eastAsia="Times New Roman" w:cs="Times New Roman"/>
          <w:lang w:eastAsia="nl-NL"/>
        </w:rPr>
      </w:pPr>
    </w:p>
    <w:p w:rsidR="00E421B7" w:rsidRDefault="009D1A61" w:rsidP="009D1A61">
      <w:pPr>
        <w:spacing w:after="0" w:line="240" w:lineRule="auto"/>
        <w:jc w:val="both"/>
        <w:rPr>
          <w:rFonts w:eastAsia="Times New Roman" w:cs="Times New Roman"/>
          <w:lang w:eastAsia="nl-NL"/>
        </w:rPr>
      </w:pPr>
      <w:r>
        <w:rPr>
          <w:rFonts w:eastAsia="Times New Roman" w:cs="Times New Roman"/>
          <w:lang w:eastAsia="nl-NL"/>
        </w:rPr>
        <w:t>De verplichting om alle energiebesparende maatregelen te nemen die zich binnen vijf jaar terugverdienen geldt niet voor:</w:t>
      </w:r>
    </w:p>
    <w:p w:rsidR="00E421B7" w:rsidRPr="009D1A61" w:rsidRDefault="009D1A61" w:rsidP="009D1A61">
      <w:pPr>
        <w:pStyle w:val="Lijstalinea"/>
        <w:numPr>
          <w:ilvl w:val="0"/>
          <w:numId w:val="4"/>
        </w:numPr>
        <w:tabs>
          <w:tab w:val="clear" w:pos="780"/>
          <w:tab w:val="left" w:pos="567"/>
        </w:tabs>
        <w:spacing w:before="100" w:beforeAutospacing="1" w:after="100" w:afterAutospacing="1" w:line="240" w:lineRule="auto"/>
        <w:ind w:left="567" w:hanging="567"/>
        <w:jc w:val="both"/>
        <w:rPr>
          <w:rFonts w:eastAsia="Times New Roman" w:cs="Times New Roman"/>
          <w:lang w:eastAsia="nl-NL"/>
        </w:rPr>
      </w:pPr>
      <w:r w:rsidRPr="009D1A61">
        <w:rPr>
          <w:rFonts w:eastAsia="Times New Roman" w:cs="Times New Roman"/>
          <w:i/>
          <w:iCs/>
          <w:lang w:eastAsia="nl-NL"/>
        </w:rPr>
        <w:t xml:space="preserve">Kleine energieverbruikers: </w:t>
      </w:r>
      <w:r w:rsidRPr="009D1A61">
        <w:rPr>
          <w:rFonts w:eastAsia="Times New Roman" w:cs="Times New Roman"/>
          <w:lang w:eastAsia="nl-NL"/>
        </w:rPr>
        <w:t>met e</w:t>
      </w:r>
      <w:bookmarkStart w:id="0" w:name="_GoBack"/>
      <w:bookmarkEnd w:id="0"/>
      <w:r w:rsidRPr="009D1A61">
        <w:rPr>
          <w:rFonts w:eastAsia="Times New Roman" w:cs="Times New Roman"/>
          <w:lang w:eastAsia="nl-NL"/>
        </w:rPr>
        <w:t>en jaarlijks elektriciteitsverbruik &lt; 50.000 kWh en jaarlijks verbruik aardgasequivalenten van &lt; 25.000 m³.</w:t>
      </w:r>
    </w:p>
    <w:p w:rsidR="00E421B7" w:rsidRPr="009D1A61" w:rsidRDefault="009D1A61" w:rsidP="009D1A61">
      <w:pPr>
        <w:pStyle w:val="Lijstalinea"/>
        <w:numPr>
          <w:ilvl w:val="0"/>
          <w:numId w:val="4"/>
        </w:numPr>
        <w:tabs>
          <w:tab w:val="clear" w:pos="780"/>
          <w:tab w:val="left" w:pos="567"/>
        </w:tabs>
        <w:spacing w:before="100" w:beforeAutospacing="1" w:after="100" w:afterAutospacing="1" w:line="240" w:lineRule="auto"/>
        <w:ind w:left="567" w:hanging="567"/>
        <w:jc w:val="both"/>
        <w:rPr>
          <w:rFonts w:eastAsia="Times New Roman" w:cs="Times New Roman"/>
          <w:lang w:eastAsia="nl-NL"/>
        </w:rPr>
      </w:pPr>
      <w:r w:rsidRPr="009D1A61">
        <w:rPr>
          <w:rFonts w:eastAsia="Times New Roman" w:cs="Times New Roman"/>
          <w:i/>
          <w:iCs/>
          <w:lang w:eastAsia="nl-NL"/>
        </w:rPr>
        <w:t>Type C-inrichtingen</w:t>
      </w:r>
      <w:r w:rsidRPr="009D1A61">
        <w:rPr>
          <w:rFonts w:eastAsia="Times New Roman" w:cs="Times New Roman"/>
          <w:lang w:eastAsia="nl-NL"/>
        </w:rPr>
        <w:t>: onder andere IPPC-bedrijven met energie-intensieve installaties.</w:t>
      </w:r>
    </w:p>
    <w:p w:rsidR="00E421B7" w:rsidRPr="009D1A61" w:rsidRDefault="009D1A61" w:rsidP="009D1A61">
      <w:pPr>
        <w:pStyle w:val="Lijstalinea"/>
        <w:numPr>
          <w:ilvl w:val="0"/>
          <w:numId w:val="4"/>
        </w:numPr>
        <w:tabs>
          <w:tab w:val="clear" w:pos="780"/>
          <w:tab w:val="left" w:pos="567"/>
        </w:tabs>
        <w:spacing w:before="100" w:beforeAutospacing="1" w:after="100" w:afterAutospacing="1" w:line="240" w:lineRule="auto"/>
        <w:ind w:left="567" w:hanging="567"/>
        <w:jc w:val="both"/>
        <w:rPr>
          <w:rFonts w:eastAsia="Times New Roman" w:cs="Times New Roman"/>
          <w:lang w:eastAsia="nl-NL"/>
        </w:rPr>
      </w:pPr>
      <w:r w:rsidRPr="009D1A61">
        <w:rPr>
          <w:rFonts w:eastAsia="Times New Roman" w:cs="Times New Roman"/>
          <w:lang w:eastAsia="nl-NL"/>
        </w:rPr>
        <w:t xml:space="preserve">Bedrijven onder het </w:t>
      </w:r>
      <w:r w:rsidRPr="009D1A61">
        <w:rPr>
          <w:rFonts w:eastAsia="Times New Roman" w:cs="Times New Roman"/>
          <w:i/>
          <w:iCs/>
          <w:lang w:eastAsia="nl-NL"/>
        </w:rPr>
        <w:t>Europese CO2-emmissiehandelssysteem</w:t>
      </w:r>
      <w:r w:rsidRPr="009D1A61">
        <w:rPr>
          <w:rFonts w:eastAsia="Times New Roman" w:cs="Times New Roman"/>
          <w:lang w:eastAsia="nl-NL"/>
        </w:rPr>
        <w:t xml:space="preserve"> (ETS-bedrijven).</w:t>
      </w:r>
    </w:p>
    <w:p w:rsidR="00E421B7" w:rsidRPr="009D1A61" w:rsidRDefault="009D1A61" w:rsidP="009D1A61">
      <w:pPr>
        <w:pStyle w:val="Lijstalinea"/>
        <w:numPr>
          <w:ilvl w:val="0"/>
          <w:numId w:val="4"/>
        </w:numPr>
        <w:tabs>
          <w:tab w:val="clear" w:pos="780"/>
          <w:tab w:val="left" w:pos="567"/>
        </w:tabs>
        <w:spacing w:before="100" w:beforeAutospacing="1" w:after="100" w:afterAutospacing="1" w:line="240" w:lineRule="auto"/>
        <w:ind w:left="567" w:hanging="567"/>
        <w:jc w:val="both"/>
        <w:rPr>
          <w:rFonts w:eastAsia="Times New Roman" w:cs="Times New Roman"/>
          <w:lang w:eastAsia="nl-NL"/>
        </w:rPr>
      </w:pPr>
      <w:r w:rsidRPr="009D1A61">
        <w:rPr>
          <w:rFonts w:eastAsia="Times New Roman" w:cs="Times New Roman"/>
          <w:lang w:eastAsia="nl-NL"/>
        </w:rPr>
        <w:t xml:space="preserve">Glastuinbedrijven die deelnemen aan het </w:t>
      </w:r>
      <w:r w:rsidRPr="009D1A61">
        <w:rPr>
          <w:rFonts w:eastAsia="Times New Roman" w:cs="Times New Roman"/>
          <w:i/>
          <w:iCs/>
          <w:lang w:eastAsia="nl-NL"/>
        </w:rPr>
        <w:t>CO2-vereveningssysteem</w:t>
      </w:r>
      <w:r w:rsidRPr="009D1A61">
        <w:rPr>
          <w:rFonts w:eastAsia="Times New Roman" w:cs="Times New Roman"/>
          <w:lang w:eastAsia="nl-NL"/>
        </w:rPr>
        <w:t>.</w:t>
      </w:r>
    </w:p>
    <w:p w:rsidR="00E421B7" w:rsidRDefault="004002D7">
      <w:pPr>
        <w:pStyle w:val="Kop2"/>
      </w:pPr>
      <w:r>
        <w:t>Hoe werken de formats?</w:t>
      </w:r>
    </w:p>
    <w:p w:rsidR="00E421B7" w:rsidRDefault="009D1A61" w:rsidP="009D1A61">
      <w:pPr>
        <w:numPr>
          <w:ilvl w:val="0"/>
          <w:numId w:val="2"/>
        </w:numPr>
        <w:tabs>
          <w:tab w:val="clear" w:pos="420"/>
          <w:tab w:val="left" w:pos="567"/>
        </w:tabs>
        <w:spacing w:after="0" w:line="240" w:lineRule="auto"/>
        <w:ind w:left="567" w:hanging="567"/>
        <w:rPr>
          <w:rFonts w:eastAsia="Times New Roman" w:cs="Times New Roman"/>
          <w:lang w:eastAsia="nl-NL"/>
        </w:rPr>
      </w:pPr>
      <w:r>
        <w:rPr>
          <w:rFonts w:eastAsia="Times New Roman" w:cs="Times New Roman"/>
          <w:i/>
          <w:iCs/>
          <w:lang w:eastAsia="nl-NL"/>
        </w:rPr>
        <w:t>Sector</w:t>
      </w:r>
      <w:r>
        <w:rPr>
          <w:rFonts w:eastAsia="Times New Roman" w:cs="Times New Roman"/>
          <w:lang w:eastAsia="nl-NL"/>
        </w:rPr>
        <w:t xml:space="preserve">: elke lijst geldt voor bedrijven die vallen binnen de beschreven SBI-codes. De erkende lijst is uitputtend, tenzij bij een lijst is aangegeven dat dit niet het geval is. </w:t>
      </w:r>
    </w:p>
    <w:p w:rsidR="00E421B7" w:rsidRDefault="009D1A61" w:rsidP="009D1A61">
      <w:pPr>
        <w:numPr>
          <w:ilvl w:val="0"/>
          <w:numId w:val="3"/>
        </w:numPr>
        <w:tabs>
          <w:tab w:val="clear" w:pos="420"/>
          <w:tab w:val="left" w:pos="567"/>
        </w:tabs>
        <w:spacing w:after="0" w:line="240" w:lineRule="auto"/>
        <w:ind w:left="567" w:hanging="567"/>
        <w:rPr>
          <w:rFonts w:eastAsia="Times New Roman" w:cs="Times New Roman"/>
          <w:lang w:eastAsia="nl-NL"/>
        </w:rPr>
      </w:pPr>
      <w:r>
        <w:rPr>
          <w:rFonts w:eastAsia="Times New Roman" w:cs="Times New Roman"/>
          <w:i/>
          <w:iCs/>
          <w:lang w:eastAsia="nl-NL"/>
        </w:rPr>
        <w:t>Technische randvoorwaarden</w:t>
      </w:r>
      <w:r>
        <w:rPr>
          <w:rFonts w:eastAsia="Times New Roman" w:cs="Times New Roman"/>
          <w:lang w:eastAsia="nl-NL"/>
        </w:rPr>
        <w:t xml:space="preserve">: voor de erkende maatregelen zijn technische randvoorwaarden beschreven. Bij een </w:t>
      </w:r>
      <w:proofErr w:type="spellStart"/>
      <w:r>
        <w:rPr>
          <w:rFonts w:eastAsia="Times New Roman" w:cs="Times New Roman"/>
          <w:lang w:eastAsia="nl-NL"/>
        </w:rPr>
        <w:t>HR-ketel</w:t>
      </w:r>
      <w:proofErr w:type="spellEnd"/>
      <w:r>
        <w:rPr>
          <w:rFonts w:eastAsia="Times New Roman" w:cs="Times New Roman"/>
          <w:lang w:eastAsia="nl-NL"/>
        </w:rPr>
        <w:t xml:space="preserve"> bijvoorbeeld is een technische randvoorwaarde dat condens- en rookgasafvoer mogelijk is. Als dat niet kan, is de maatregel niet van toepassing. </w:t>
      </w:r>
    </w:p>
    <w:p w:rsidR="00E421B7" w:rsidRPr="009D1A61" w:rsidRDefault="009D1A61" w:rsidP="009D1A61">
      <w:pPr>
        <w:pStyle w:val="Lijstalinea"/>
        <w:numPr>
          <w:ilvl w:val="0"/>
          <w:numId w:val="3"/>
        </w:numPr>
        <w:tabs>
          <w:tab w:val="clear" w:pos="420"/>
          <w:tab w:val="left" w:pos="567"/>
        </w:tabs>
        <w:spacing w:after="0" w:line="240" w:lineRule="auto"/>
        <w:ind w:left="567" w:hanging="567"/>
        <w:rPr>
          <w:rFonts w:eastAsia="Times New Roman" w:cs="Times New Roman"/>
          <w:lang w:eastAsia="nl-NL"/>
        </w:rPr>
      </w:pPr>
      <w:r w:rsidRPr="009D1A61">
        <w:rPr>
          <w:rFonts w:eastAsia="Times New Roman" w:cs="Times New Roman"/>
          <w:i/>
          <w:iCs/>
          <w:lang w:eastAsia="nl-NL"/>
        </w:rPr>
        <w:t>Economische randvoorwaarden</w:t>
      </w:r>
      <w:r w:rsidRPr="009D1A61">
        <w:rPr>
          <w:rFonts w:eastAsia="Times New Roman" w:cs="Times New Roman"/>
          <w:lang w:eastAsia="nl-NL"/>
        </w:rPr>
        <w:t xml:space="preserve">: ook economische randvoorwaarden bepalen of een maatregel van toepassing is. Zo kunnen voor grote gebouwen lagere energieprijzen gelden waardoor maatregelen onrendabel worden. Dat is de reden dat bijvoorbeeld spouwmuurisolatie boven een bepaald gasverbruik niet van toepassing is. </w:t>
      </w:r>
    </w:p>
    <w:p w:rsidR="00E421B7" w:rsidRPr="009D1A61" w:rsidRDefault="009D1A61" w:rsidP="009D1A61">
      <w:pPr>
        <w:pStyle w:val="Lijstalinea"/>
        <w:numPr>
          <w:ilvl w:val="0"/>
          <w:numId w:val="3"/>
        </w:numPr>
        <w:tabs>
          <w:tab w:val="clear" w:pos="420"/>
          <w:tab w:val="left" w:pos="567"/>
          <w:tab w:val="num" w:pos="1128"/>
        </w:tabs>
        <w:spacing w:after="0" w:line="240" w:lineRule="auto"/>
        <w:ind w:left="567" w:hanging="567"/>
        <w:rPr>
          <w:rFonts w:eastAsia="Times New Roman" w:cs="Times New Roman"/>
          <w:lang w:eastAsia="nl-NL"/>
        </w:rPr>
      </w:pPr>
      <w:r w:rsidRPr="009D1A61">
        <w:rPr>
          <w:rFonts w:eastAsia="Times New Roman" w:cs="Times New Roman"/>
          <w:i/>
          <w:iCs/>
          <w:lang w:eastAsia="nl-NL"/>
        </w:rPr>
        <w:t>Alternatieve erkende maatregelen</w:t>
      </w:r>
      <w:r w:rsidRPr="009D1A61">
        <w:rPr>
          <w:rFonts w:eastAsia="Times New Roman" w:cs="Times New Roman"/>
          <w:lang w:eastAsia="nl-NL"/>
        </w:rPr>
        <w:t xml:space="preserve">: maatregelen kunnen energetisch invloed op elkaar hebben. Het is daarom mogelijk dat bepaalde erkende maatregelen niet van toepassing zijn, omdat door het treffen van andere erkende maatregelen de terugverdientijd hoger wordt dan vijf jaar. Erkende maatregelen kunnen op basis hiervan alternatieven zijn van elkaar. Waar relevant is dat per maatregel aangegeven. </w:t>
      </w:r>
    </w:p>
    <w:p w:rsidR="00E421B7" w:rsidRDefault="009D1A61" w:rsidP="009D1A61">
      <w:pPr>
        <w:numPr>
          <w:ilvl w:val="0"/>
          <w:numId w:val="3"/>
        </w:numPr>
        <w:tabs>
          <w:tab w:val="clear" w:pos="420"/>
          <w:tab w:val="left" w:pos="567"/>
        </w:tabs>
        <w:spacing w:after="0" w:line="240" w:lineRule="auto"/>
        <w:ind w:left="567" w:hanging="567"/>
      </w:pPr>
      <w:r>
        <w:rPr>
          <w:rFonts w:eastAsia="Times New Roman" w:cs="Times New Roman"/>
          <w:i/>
          <w:iCs/>
          <w:lang w:eastAsia="nl-NL"/>
        </w:rPr>
        <w:t>Natuurlijk moment</w:t>
      </w:r>
      <w:r>
        <w:rPr>
          <w:rFonts w:eastAsia="Times New Roman" w:cs="Times New Roman"/>
          <w:lang w:eastAsia="nl-NL"/>
        </w:rPr>
        <w:t xml:space="preserve">: bepaalde maatregelen zullen alleen rendabel zijn als de maatregel op een natuurlijk moment wordt getroffen. Alleen als de ondernemer toch al van plan is het dak te vervangen, is dakisolatie rendabel. Wanneer een natuurlijk moment zich voordoet, is aan de </w:t>
      </w:r>
      <w:r>
        <w:rPr>
          <w:rFonts w:eastAsia="Times New Roman" w:cs="Times New Roman"/>
          <w:lang w:eastAsia="nl-NL"/>
        </w:rPr>
        <w:lastRenderedPageBreak/>
        <w:t xml:space="preserve">ondernemer. Hij bepaalt wanneer een dak wordt vervangen, groot onderhoud wordt gepleegd, wordt gerenoveerd etc. De ondernemer moet zich op dat moment realiseren, dat sprake is van een verplichting op basis van artikel 2.15. </w:t>
      </w:r>
    </w:p>
    <w:p w:rsidR="00E421B7" w:rsidRDefault="009D1A61">
      <w:pPr>
        <w:pStyle w:val="Kop2"/>
      </w:pPr>
      <w:r>
        <w:t xml:space="preserve">Wilt u een </w:t>
      </w:r>
      <w:r>
        <w:rPr>
          <w:rFonts w:eastAsia="Times New Roman"/>
          <w:lang w:eastAsia="nl-NL"/>
        </w:rPr>
        <w:t>gelijkwaardig alternatieve maatregel nemen?</w:t>
      </w:r>
    </w:p>
    <w:p w:rsidR="00E421B7" w:rsidRDefault="009D1A61">
      <w:pPr>
        <w:spacing w:after="0" w:line="240" w:lineRule="auto"/>
        <w:rPr>
          <w:rFonts w:eastAsia="Times New Roman" w:cs="Times New Roman"/>
          <w:lang w:eastAsia="nl-NL"/>
        </w:rPr>
      </w:pPr>
      <w:r>
        <w:rPr>
          <w:rFonts w:eastAsia="Times New Roman" w:cs="Times New Roman"/>
          <w:lang w:eastAsia="nl-NL"/>
        </w:rPr>
        <w:t>Een gelijkwaardig alternatieve maatregel is een energiebesparende maatregel die niet in bijlage 10 van de Activiteitenregeling wordt genoemd en dus geen erkende maatregel is. Als u kunt  aantonen dat</w:t>
      </w:r>
      <w:r w:rsidRPr="009D1A61">
        <w:rPr>
          <w:rFonts w:eastAsia="Times New Roman" w:cs="Times New Roman"/>
          <w:lang w:eastAsia="nl-NL"/>
        </w:rPr>
        <w:t xml:space="preserve"> een andere maatregel de dezelfde hoeveelheid energiebesparing (of meer) oplevert, dan mag deze in de plaats komen.</w:t>
      </w:r>
    </w:p>
    <w:p w:rsidR="00E421B7" w:rsidRDefault="00E421B7"/>
    <w:p w:rsidR="00E421B7" w:rsidRDefault="009D1A61">
      <w:pPr>
        <w:pStyle w:val="Kop2"/>
      </w:pPr>
      <w:r>
        <w:t>LTO Noord helpt je</w:t>
      </w:r>
    </w:p>
    <w:p w:rsidR="00E421B7" w:rsidRDefault="009D1A61">
      <w:r w:rsidRPr="009D1A61">
        <w:t xml:space="preserve">LTO Noord maakt </w:t>
      </w:r>
      <w:proofErr w:type="spellStart"/>
      <w:r w:rsidRPr="009D1A61">
        <w:t>factsheets</w:t>
      </w:r>
      <w:proofErr w:type="spellEnd"/>
      <w:r w:rsidRPr="009D1A61">
        <w:t xml:space="preserve"> per sector</w:t>
      </w:r>
    </w:p>
    <w:sectPr w:rsidR="00E4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6E3"/>
    <w:multiLevelType w:val="hybridMultilevel"/>
    <w:tmpl w:val="55E00182"/>
    <w:lvl w:ilvl="0" w:tplc="57683411">
      <w:start w:val="1"/>
      <w:numFmt w:val="bullet"/>
      <w:lvlText w:val=""/>
      <w:lvlJc w:val="left"/>
      <w:pPr>
        <w:tabs>
          <w:tab w:val="left" w:pos="780"/>
        </w:tabs>
        <w:ind w:left="780" w:hanging="42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7683411"/>
    <w:multiLevelType w:val="singleLevel"/>
    <w:tmpl w:val="57683411"/>
    <w:lvl w:ilvl="0">
      <w:start w:val="1"/>
      <w:numFmt w:val="bullet"/>
      <w:lvlText w:val=""/>
      <w:lvlJc w:val="left"/>
      <w:pPr>
        <w:tabs>
          <w:tab w:val="left" w:pos="420"/>
        </w:tabs>
        <w:ind w:left="420" w:hanging="420"/>
      </w:pPr>
      <w:rPr>
        <w:rFonts w:ascii="Wingdings" w:hAnsi="Wingdings" w:hint="default"/>
      </w:rPr>
    </w:lvl>
  </w:abstractNum>
  <w:abstractNum w:abstractNumId="2">
    <w:nsid w:val="57683423"/>
    <w:multiLevelType w:val="singleLevel"/>
    <w:tmpl w:val="57683423"/>
    <w:lvl w:ilvl="0">
      <w:start w:val="1"/>
      <w:numFmt w:val="bullet"/>
      <w:lvlText w:val=""/>
      <w:lvlJc w:val="left"/>
      <w:pPr>
        <w:tabs>
          <w:tab w:val="left" w:pos="420"/>
        </w:tabs>
        <w:ind w:left="420" w:hanging="420"/>
      </w:pPr>
      <w:rPr>
        <w:rFonts w:ascii="Wingdings" w:hAnsi="Wingdings" w:hint="default"/>
      </w:rPr>
    </w:lvl>
  </w:abstractNum>
  <w:abstractNum w:abstractNumId="3">
    <w:nsid w:val="75C67D13"/>
    <w:multiLevelType w:val="multilevel"/>
    <w:tmpl w:val="75C67D13"/>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321ED"/>
    <w:rsid w:val="000F140D"/>
    <w:rsid w:val="00301AB7"/>
    <w:rsid w:val="004002D7"/>
    <w:rsid w:val="004321ED"/>
    <w:rsid w:val="004D7482"/>
    <w:rsid w:val="00911471"/>
    <w:rsid w:val="00993630"/>
    <w:rsid w:val="009D1A61"/>
    <w:rsid w:val="009D4B25"/>
    <w:rsid w:val="00BB4AB8"/>
    <w:rsid w:val="00BD7A14"/>
    <w:rsid w:val="00E01678"/>
    <w:rsid w:val="00E421B7"/>
    <w:rsid w:val="284C5DA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lang w:eastAsia="en-US"/>
    </w:rPr>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Pr>
      <w:i/>
      <w:iCs/>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qFormat/>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99"/>
    <w:unhideWhenUsed/>
    <w:rsid w:val="009D1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LENOVOX220</dc:creator>
  <cp:lastModifiedBy>Wouter Veefkind</cp:lastModifiedBy>
  <cp:revision>6</cp:revision>
  <dcterms:created xsi:type="dcterms:W3CDTF">2016-06-01T12:45:00Z</dcterms:created>
  <dcterms:modified xsi:type="dcterms:W3CDTF">2016-06-23T07:57:00Z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1033-10.1.0.5614</vt:lpwstr>
  </property>
</Properties>
</file>